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80" w:type="dxa"/>
        <w:tblInd w:w="93" w:type="dxa"/>
        <w:tblLook w:val="04A0" w:firstRow="1" w:lastRow="0" w:firstColumn="1" w:lastColumn="0" w:noHBand="0" w:noVBand="1"/>
      </w:tblPr>
      <w:tblGrid>
        <w:gridCol w:w="1800"/>
        <w:gridCol w:w="2402"/>
        <w:gridCol w:w="4779"/>
        <w:gridCol w:w="1499"/>
      </w:tblGrid>
      <w:tr w:rsidR="009F189D" w:rsidRPr="00186DC6" w:rsidTr="00186DC6">
        <w:trPr>
          <w:trHeight w:val="792"/>
        </w:trPr>
        <w:tc>
          <w:tcPr>
            <w:tcW w:w="10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9F189D" w:rsidRPr="00186DC6" w:rsidRDefault="009F189D" w:rsidP="009F1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bookmarkStart w:id="0" w:name="_GoBack"/>
            <w:bookmarkEnd w:id="0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Научне, уметничке и стручне квалификације наставника и задужења у настави</w:t>
            </w:r>
          </w:p>
        </w:tc>
      </w:tr>
      <w:tr w:rsidR="009F189D" w:rsidRPr="009F189D" w:rsidTr="00186DC6">
        <w:trPr>
          <w:trHeight w:val="255"/>
        </w:trPr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средње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слово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име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Чудомировић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М.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Јован</w:t>
            </w:r>
            <w:proofErr w:type="spellEnd"/>
          </w:p>
        </w:tc>
      </w:tr>
      <w:tr w:rsidR="009F189D" w:rsidRPr="009F189D" w:rsidTr="00186DC6">
        <w:trPr>
          <w:trHeight w:val="255"/>
        </w:trPr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доцент</w:t>
            </w:r>
            <w:proofErr w:type="spellEnd"/>
          </w:p>
        </w:tc>
      </w:tr>
      <w:tr w:rsidR="009F189D" w:rsidRPr="00186DC6" w:rsidTr="00186DC6">
        <w:trPr>
          <w:trHeight w:val="480"/>
        </w:trPr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Назив институције у којој наставник ради са пуним радним временом</w:t>
            </w:r>
          </w:p>
        </w:tc>
        <w:tc>
          <w:tcPr>
            <w:tcW w:w="6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</w:tr>
      <w:tr w:rsidR="009F189D" w:rsidRPr="009F189D" w:rsidTr="00186DC6">
        <w:trPr>
          <w:trHeight w:val="255"/>
        </w:trPr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Датум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запослења</w:t>
            </w:r>
            <w:proofErr w:type="spellEnd"/>
          </w:p>
        </w:tc>
        <w:tc>
          <w:tcPr>
            <w:tcW w:w="6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15. 11. 2008.</w:t>
            </w:r>
          </w:p>
        </w:tc>
      </w:tr>
      <w:tr w:rsidR="009F189D" w:rsidRPr="009F189D" w:rsidTr="00186DC6">
        <w:trPr>
          <w:trHeight w:val="255"/>
        </w:trPr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Ужа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научна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уметничка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)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Српски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</w:p>
        </w:tc>
      </w:tr>
      <w:tr w:rsidR="009F189D" w:rsidRPr="009F189D" w:rsidTr="00186DC6">
        <w:trPr>
          <w:trHeight w:val="255"/>
        </w:trPr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6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</w:t>
            </w:r>
            <w:proofErr w:type="spellEnd"/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Избор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14.06.2016</w:t>
            </w:r>
          </w:p>
        </w:tc>
        <w:tc>
          <w:tcPr>
            <w:tcW w:w="4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Српски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06.11.2015</w:t>
            </w:r>
          </w:p>
        </w:tc>
        <w:tc>
          <w:tcPr>
            <w:tcW w:w="4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Српски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Специјализација</w:t>
            </w:r>
            <w:proofErr w:type="spellEnd"/>
          </w:p>
        </w:tc>
        <w:tc>
          <w:tcPr>
            <w:tcW w:w="2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2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3/17/2009</w:t>
            </w:r>
          </w:p>
        </w:tc>
        <w:tc>
          <w:tcPr>
            <w:tcW w:w="4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Српски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40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4/28/2006</w:t>
            </w:r>
          </w:p>
        </w:tc>
        <w:tc>
          <w:tcPr>
            <w:tcW w:w="47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49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Српски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</w:p>
        </w:tc>
      </w:tr>
      <w:tr w:rsidR="009F189D" w:rsidRPr="00186DC6" w:rsidTr="00186DC6">
        <w:trPr>
          <w:trHeight w:val="255"/>
        </w:trPr>
        <w:tc>
          <w:tcPr>
            <w:tcW w:w="10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Списак предмета које наставник држи</w:t>
            </w:r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Р.б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Назив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Врста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студија</w:t>
            </w:r>
            <w:proofErr w:type="spellEnd"/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Прагматика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лингвистика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текста</w:t>
            </w:r>
            <w:proofErr w:type="spellEnd"/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Лектура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коректура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текста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**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Лектура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текста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српски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Специјални курс: Синтакса српског језика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МАС</w:t>
            </w:r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1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Примењена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синтакса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српског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језика</w:t>
            </w:r>
            <w:proofErr w:type="spellEnd"/>
          </w:p>
        </w:tc>
        <w:tc>
          <w:tcPr>
            <w:tcW w:w="14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Српски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ОАС</w:t>
            </w:r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F189D" w:rsidRPr="009F189D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71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F189D" w:rsidRPr="00186DC6" w:rsidTr="00186DC6">
        <w:trPr>
          <w:trHeight w:val="255"/>
        </w:trPr>
        <w:tc>
          <w:tcPr>
            <w:tcW w:w="10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Репрезентативне референце (минимално 5, не више од 10)</w:t>
            </w:r>
          </w:p>
        </w:tc>
      </w:tr>
      <w:tr w:rsidR="009F189D" w:rsidRPr="00186DC6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„Речце као текстуални конектори у савременом српском језику“, Књижевност и језик, </w:t>
            </w: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LVI</w:t>
            </w: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, 3–4, 2009, 277–296.</w:t>
            </w:r>
          </w:p>
        </w:tc>
      </w:tr>
      <w:tr w:rsidR="009F189D" w:rsidRPr="00186DC6" w:rsidTr="00186DC6">
        <w:trPr>
          <w:trHeight w:val="510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„О полифункционалности лексеме један у српском језику“, Научни састанак слависта у Вукове дане, 42/3, 2012, 319–346.</w:t>
            </w:r>
          </w:p>
        </w:tc>
      </w:tr>
      <w:tr w:rsidR="009F189D" w:rsidRPr="00186DC6" w:rsidTr="00186DC6">
        <w:trPr>
          <w:trHeight w:val="570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„Семантички и прагматички критеријуми за опис и класификацију речци и њихова ограничења“, Научни састанак слависта у Вукове дане, 43/3, 2013, 159–172.</w:t>
            </w:r>
          </w:p>
        </w:tc>
      </w:tr>
      <w:tr w:rsidR="009F189D" w:rsidRPr="00186DC6" w:rsidTr="00186DC6">
        <w:trPr>
          <w:trHeight w:val="510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„Мобилизација публике: извештавање дневних новина у Србији о наступима фудбалске репрезентације“, Зборник Матице српске за филологију и лингвистику, </w:t>
            </w: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LVII</w:t>
            </w: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/2, 2014, стр. 145–159.</w:t>
            </w:r>
          </w:p>
        </w:tc>
      </w:tr>
      <w:tr w:rsidR="009F189D" w:rsidRPr="009F189D" w:rsidTr="00186DC6">
        <w:trPr>
          <w:trHeight w:val="510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„Verbs of perception and speech as sources of evidential markers in Serbian: paths of semantic extension and grammatical conventionalization“, [in]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Björn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Wiemer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(ed.), Studies on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evidentiality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marking in West and South Slavic,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München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Verlag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Otto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Sagner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, 2015, pp. 21–61.</w:t>
            </w:r>
          </w:p>
        </w:tc>
      </w:tr>
      <w:tr w:rsidR="009F189D" w:rsidRPr="00186DC6" w:rsidTr="00186DC6">
        <w:trPr>
          <w:trHeight w:val="5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„Узрочни субординатори и теорија домена – експериментални приступ“, Научни састанак слависта у Вукове дане, 45/3, 2016, стр. 167–200.</w:t>
            </w:r>
          </w:p>
        </w:tc>
      </w:tr>
      <w:tr w:rsidR="009F189D" w:rsidRPr="00186DC6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„О сврсисходности изразȃ (с) обзиром (на то) да и (с) обзиром на“, Наш језик, 48/3–4, 2017, стр. 239–248.</w:t>
            </w:r>
          </w:p>
        </w:tc>
      </w:tr>
      <w:tr w:rsidR="009F189D" w:rsidRPr="00186DC6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„Зашто су ’поштапалице’ потребне”, Књижевност и језик, </w:t>
            </w: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LXVII</w:t>
            </w: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/1, 2020, стр. 41–55.</w:t>
            </w:r>
          </w:p>
        </w:tc>
      </w:tr>
      <w:tr w:rsidR="009F189D" w:rsidRPr="00186DC6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„Условне клаузе и теорија домена”, Научни састанак слависта у Вукове дане, 48/3, 2019, стр. 259¬–278.</w:t>
            </w:r>
          </w:p>
        </w:tc>
      </w:tr>
      <w:tr w:rsidR="009F189D" w:rsidRPr="00186DC6" w:rsidTr="00186DC6">
        <w:trPr>
          <w:trHeight w:val="25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„Самосталне условне клаузе: међузависност граматике и прагматике”, Зборник Матице српске за филологију и лингвистику, </w:t>
            </w: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LXIII</w:t>
            </w: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/2, 2020, стр. 99–118.</w:t>
            </w:r>
          </w:p>
        </w:tc>
      </w:tr>
      <w:tr w:rsidR="009F189D" w:rsidRPr="00186DC6" w:rsidTr="00186DC6">
        <w:trPr>
          <w:trHeight w:val="255"/>
        </w:trPr>
        <w:tc>
          <w:tcPr>
            <w:tcW w:w="10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Збирни подаци научне, односно уметничке и стручне активности наставника</w:t>
            </w:r>
          </w:p>
        </w:tc>
      </w:tr>
      <w:tr w:rsidR="009F189D" w:rsidRPr="009F189D" w:rsidTr="00186DC6">
        <w:trPr>
          <w:trHeight w:val="529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Укупан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број</w:t>
            </w:r>
            <w:proofErr w:type="spellEnd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9F189D" w:rsidRPr="00186DC6" w:rsidTr="00186DC6">
        <w:trPr>
          <w:trHeight w:val="540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Укупан број радова са </w:t>
            </w: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SCI</w:t>
            </w: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lastRenderedPageBreak/>
              <w:t>(</w:t>
            </w: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SSCI</w:t>
            </w: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4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F189D" w:rsidRPr="009F189D" w:rsidTr="00186DC6">
        <w:trPr>
          <w:trHeight w:val="255"/>
        </w:trPr>
        <w:tc>
          <w:tcPr>
            <w:tcW w:w="10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Усавршавања</w:t>
            </w:r>
            <w:proofErr w:type="spellEnd"/>
          </w:p>
        </w:tc>
      </w:tr>
      <w:tr w:rsidR="009F189D" w:rsidRPr="009F189D" w:rsidTr="00186DC6">
        <w:trPr>
          <w:trHeight w:val="255"/>
        </w:trPr>
        <w:tc>
          <w:tcPr>
            <w:tcW w:w="10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F189D" w:rsidRPr="00186DC6" w:rsidTr="00186DC6">
        <w:trPr>
          <w:trHeight w:val="255"/>
        </w:trPr>
        <w:tc>
          <w:tcPr>
            <w:tcW w:w="10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9F189D" w:rsidRPr="00186DC6" w:rsidTr="00186DC6">
        <w:trPr>
          <w:trHeight w:val="255"/>
        </w:trPr>
        <w:tc>
          <w:tcPr>
            <w:tcW w:w="10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F189D" w:rsidRPr="00186DC6" w:rsidTr="00186DC6">
        <w:trPr>
          <w:trHeight w:val="510"/>
        </w:trPr>
        <w:tc>
          <w:tcPr>
            <w:tcW w:w="10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186DC6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F189D" w:rsidRPr="00186DC6" w:rsidTr="009F189D">
        <w:trPr>
          <w:trHeight w:val="255"/>
        </w:trPr>
        <w:tc>
          <w:tcPr>
            <w:tcW w:w="10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F189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9F189D" w:rsidRPr="00186DC6" w:rsidTr="009F189D">
        <w:trPr>
          <w:trHeight w:val="255"/>
        </w:trPr>
        <w:tc>
          <w:tcPr>
            <w:tcW w:w="10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F189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9F189D" w:rsidRPr="00186DC6" w:rsidTr="009F189D">
        <w:trPr>
          <w:trHeight w:val="255"/>
        </w:trPr>
        <w:tc>
          <w:tcPr>
            <w:tcW w:w="10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189D" w:rsidRPr="00186DC6" w:rsidRDefault="009F189D" w:rsidP="009F189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F189D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366623" w:rsidRPr="00186DC6" w:rsidRDefault="00366623">
      <w:pPr>
        <w:rPr>
          <w:lang w:val="ru-RU"/>
        </w:rPr>
      </w:pPr>
    </w:p>
    <w:sectPr w:rsidR="00366623" w:rsidRPr="00186DC6" w:rsidSect="00DB5A7A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A7A"/>
    <w:rsid w:val="00186DC6"/>
    <w:rsid w:val="00366623"/>
    <w:rsid w:val="00416A8C"/>
    <w:rsid w:val="009F189D"/>
    <w:rsid w:val="00DB5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749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434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Filološki fakultet</dc:creator>
  <cp:lastModifiedBy>jelen</cp:lastModifiedBy>
  <cp:revision>5</cp:revision>
  <dcterms:created xsi:type="dcterms:W3CDTF">2022-02-26T22:47:00Z</dcterms:created>
  <dcterms:modified xsi:type="dcterms:W3CDTF">2023-03-15T19:38:00Z</dcterms:modified>
</cp:coreProperties>
</file>