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45"/>
        <w:gridCol w:w="122"/>
        <w:gridCol w:w="959"/>
        <w:gridCol w:w="35"/>
        <w:gridCol w:w="789"/>
        <w:gridCol w:w="271"/>
        <w:gridCol w:w="537"/>
        <w:gridCol w:w="368"/>
        <w:gridCol w:w="425"/>
        <w:gridCol w:w="287"/>
        <w:gridCol w:w="1156"/>
        <w:gridCol w:w="344"/>
        <w:gridCol w:w="1604"/>
      </w:tblGrid>
      <w:tr w:rsidR="002A5DBF" w:rsidRPr="00491993" w:rsidTr="00575990">
        <w:trPr>
          <w:trHeight w:val="350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Предраг </w:t>
            </w:r>
            <w:r w:rsidR="00E63D5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Ј.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Мутавџић</w:t>
            </w:r>
          </w:p>
        </w:tc>
      </w:tr>
      <w:tr w:rsidR="002A5DBF" w:rsidRPr="00491993" w:rsidTr="00575990">
        <w:trPr>
          <w:trHeight w:val="260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2A5DBF" w:rsidRPr="00491993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E63D5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Београд</w:t>
            </w:r>
          </w:p>
        </w:tc>
      </w:tr>
      <w:tr w:rsidR="002A5DBF" w:rsidRPr="00491993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Балканологија, неохеленистика, албанологија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902EBB" w:rsidRPr="00491993" w:rsidTr="002A5DBF">
        <w:trPr>
          <w:trHeight w:val="427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CC7BC7" w:rsidRPr="00491993" w:rsidTr="00E47C41">
        <w:trPr>
          <w:trHeight w:val="215"/>
        </w:trPr>
        <w:tc>
          <w:tcPr>
            <w:tcW w:w="2989" w:type="dxa"/>
            <w:gridSpan w:val="5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2022.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Београд</w:t>
            </w:r>
          </w:p>
        </w:tc>
        <w:tc>
          <w:tcPr>
            <w:tcW w:w="1868" w:type="dxa"/>
            <w:gridSpan w:val="3"/>
            <w:shd w:val="clear" w:color="auto" w:fill="auto"/>
          </w:tcPr>
          <w:p w:rsidR="00CC7BC7" w:rsidRDefault="00CC7BC7">
            <w:r w:rsidRPr="00B561EC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 (балканологија)</w:t>
            </w:r>
          </w:p>
        </w:tc>
      </w:tr>
      <w:tr w:rsidR="00CC7BC7" w:rsidRPr="00491993" w:rsidTr="00E47C41">
        <w:trPr>
          <w:trHeight w:val="251"/>
        </w:trPr>
        <w:tc>
          <w:tcPr>
            <w:tcW w:w="2989" w:type="dxa"/>
            <w:gridSpan w:val="5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2003.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Београд</w:t>
            </w:r>
          </w:p>
        </w:tc>
        <w:tc>
          <w:tcPr>
            <w:tcW w:w="1868" w:type="dxa"/>
            <w:gridSpan w:val="3"/>
            <w:shd w:val="clear" w:color="auto" w:fill="auto"/>
          </w:tcPr>
          <w:p w:rsidR="00CC7BC7" w:rsidRDefault="00CC7BC7">
            <w:r w:rsidRPr="00B561EC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Балканска лингвистика</w:t>
            </w:r>
          </w:p>
        </w:tc>
      </w:tr>
      <w:tr w:rsidR="00CC7BC7" w:rsidRPr="00491993" w:rsidTr="00E47C41">
        <w:trPr>
          <w:trHeight w:val="251"/>
        </w:trPr>
        <w:tc>
          <w:tcPr>
            <w:tcW w:w="2989" w:type="dxa"/>
            <w:gridSpan w:val="5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</w:tcPr>
          <w:p w:rsidR="00CC7BC7" w:rsidRDefault="00CC7BC7"/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CC7BC7" w:rsidRPr="00491993" w:rsidTr="00E47C41">
        <w:trPr>
          <w:trHeight w:val="170"/>
        </w:trPr>
        <w:tc>
          <w:tcPr>
            <w:tcW w:w="2989" w:type="dxa"/>
            <w:gridSpan w:val="5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1997.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Београд</w:t>
            </w:r>
          </w:p>
        </w:tc>
        <w:tc>
          <w:tcPr>
            <w:tcW w:w="1868" w:type="dxa"/>
            <w:gridSpan w:val="3"/>
            <w:shd w:val="clear" w:color="auto" w:fill="auto"/>
          </w:tcPr>
          <w:p w:rsidR="00CC7BC7" w:rsidRDefault="00CC7BC7">
            <w:r w:rsidRPr="00B561EC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Балканска лингвистика</w:t>
            </w:r>
          </w:p>
        </w:tc>
      </w:tr>
      <w:tr w:rsidR="00CC7BC7" w:rsidRPr="00491993" w:rsidTr="00E47C41">
        <w:trPr>
          <w:trHeight w:val="197"/>
        </w:trPr>
        <w:tc>
          <w:tcPr>
            <w:tcW w:w="2989" w:type="dxa"/>
            <w:gridSpan w:val="5"/>
            <w:vAlign w:val="center"/>
          </w:tcPr>
          <w:p w:rsidR="00CC7BC7" w:rsidRPr="00AC0E94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94" w:type="dxa"/>
            <w:gridSpan w:val="2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</w:tcPr>
          <w:p w:rsidR="00CC7BC7" w:rsidRDefault="00CC7BC7">
            <w:bookmarkStart w:id="0" w:name="_GoBack"/>
            <w:bookmarkEnd w:id="0"/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CC7BC7" w:rsidRPr="00491993" w:rsidTr="00E47C41">
        <w:trPr>
          <w:trHeight w:val="233"/>
        </w:trPr>
        <w:tc>
          <w:tcPr>
            <w:tcW w:w="2989" w:type="dxa"/>
            <w:gridSpan w:val="5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2000.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Београд</w:t>
            </w:r>
          </w:p>
        </w:tc>
        <w:tc>
          <w:tcPr>
            <w:tcW w:w="1868" w:type="dxa"/>
            <w:gridSpan w:val="3"/>
            <w:shd w:val="clear" w:color="auto" w:fill="auto"/>
          </w:tcPr>
          <w:p w:rsidR="00CC7BC7" w:rsidRDefault="00CC7BC7">
            <w:r w:rsidRPr="00B561EC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CC7BC7" w:rsidRPr="00491993" w:rsidTr="00E47C41">
        <w:trPr>
          <w:trHeight w:val="233"/>
        </w:trPr>
        <w:tc>
          <w:tcPr>
            <w:tcW w:w="2989" w:type="dxa"/>
            <w:gridSpan w:val="5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1991.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Београд</w:t>
            </w:r>
          </w:p>
        </w:tc>
        <w:tc>
          <w:tcPr>
            <w:tcW w:w="1868" w:type="dxa"/>
            <w:gridSpan w:val="3"/>
            <w:shd w:val="clear" w:color="auto" w:fill="auto"/>
          </w:tcPr>
          <w:p w:rsidR="00CC7BC7" w:rsidRDefault="00CC7BC7">
            <w:r w:rsidRPr="00B561EC"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CC7BC7" w:rsidRPr="00491993" w:rsidRDefault="00CC7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Албанологија </w:t>
            </w:r>
          </w:p>
        </w:tc>
      </w:tr>
      <w:tr w:rsidR="002A5DB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:rsidTr="00C14272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:rsidTr="00C14272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02EBB">
              <w:rPr>
                <w:rFonts w:ascii="Times New Roman" w:hAnsi="Times New Roman"/>
                <w:sz w:val="20"/>
                <w:szCs w:val="20"/>
                <w:lang w:val="sr-Cyrl-CS"/>
              </w:rPr>
              <w:t>Увод у неохеленистику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C14272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Балканологија 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C14272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Балканологија 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C1427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Културна историја Грчке 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2A5DBF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Културна историја Грчке 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2A5DBF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Увод у кипарске студије 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Увод у кипарске студије 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Грчки језик 7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902EB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грчки језик П-1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грчки језик П-2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Новогрчка књижевност 3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Новогрчка књижевност 4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Грчка и Балкан кроз призму фразеологије и културе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Евробалкански свет и фразеологија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575990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Примена теорије концептуалне метафоре у страживању </w:t>
            </w:r>
            <w:r w:rsidRPr="00396B6D">
              <w:rPr>
                <w:rFonts w:ascii="Times New Roman" w:hAnsi="Times New Roman"/>
                <w:sz w:val="20"/>
                <w:szCs w:val="20"/>
                <w:lang w:val="sr-Cyrl-CS"/>
              </w:rPr>
              <w:t>посебних тема из лексикологије и фразеологије грчког језика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575990" w:rsidRPr="00491993" w:rsidRDefault="00396B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2A5DB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CC01E6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CC01E6" w:rsidRPr="00491993" w:rsidRDefault="00CC01E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CC01E6" w:rsidRPr="00CC01E6" w:rsidRDefault="00CC01E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Предраг Мутавџић – Мерима Кријези. (2022). 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Лексема bukë („хлеб“) сагледана кроз призму албанске фразеологије и културе (с освртом на српску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). </w:t>
            </w:r>
            <w:r w:rsidRPr="006335F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Гласник Етногафског института САНУ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број 70/1, (2022): 249–264. </w:t>
            </w:r>
          </w:p>
        </w:tc>
      </w:tr>
      <w:tr w:rsidR="00CC01E6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CC01E6" w:rsidRPr="00491993" w:rsidRDefault="00CC01E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CC01E6" w:rsidRPr="00CC01E6" w:rsidRDefault="00CC01E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Predrag Mutavdžić – Jagoda Granić – Ana Sivački (2021). „The European Union, the Balkans and Multi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linguaphobia“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У: </w:t>
            </w:r>
            <w:r w:rsidRPr="00CC01E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Where our Languages and Cultrues Meet and Mix: A View from Serbia – Selected Papers from the Research Project Languages and Cultures in Time and Space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. Novi Sad: Faculty of Philosophy, University of Novi Sad, pp. 405–420.</w:t>
            </w:r>
          </w:p>
        </w:tc>
      </w:tr>
      <w:tr w:rsidR="00CC01E6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CC01E6" w:rsidRPr="00491993" w:rsidRDefault="00CC01E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CC01E6" w:rsidRPr="00CC01E6" w:rsidRDefault="00CC01E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Кријези, Мерима Х. </w:t>
            </w:r>
            <w:r w:rsidR="006335F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– Мутавџић, Предраг Ј. (2021). 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Фразеологизми са бројем dy/два у савременом а</w:t>
            </w:r>
            <w:r w:rsidR="006335F0">
              <w:rPr>
                <w:rFonts w:ascii="Times New Roman" w:hAnsi="Times New Roman"/>
                <w:sz w:val="20"/>
                <w:szCs w:val="20"/>
                <w:lang w:val="sr-Cyrl-CS"/>
              </w:rPr>
              <w:t>лбанском и српском језику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r w:rsidRPr="00CC01E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Српски језик: студије српске и словенске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, број XXVI (2021), стр. 439–453</w:t>
            </w:r>
          </w:p>
        </w:tc>
      </w:tr>
      <w:tr w:rsidR="00CC01E6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CC01E6" w:rsidRPr="00491993" w:rsidRDefault="00CC01E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CC01E6" w:rsidRPr="00CC01E6" w:rsidRDefault="00CC01E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Мутавџић, Пред</w:t>
            </w:r>
            <w:r w:rsidR="006335F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раг – Кријези, Мерима. (2021). 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О библијским фразеологизмима са ономастичком компонентом у савременом </w:t>
            </w:r>
            <w:r w:rsidR="006335F0">
              <w:rPr>
                <w:rFonts w:ascii="Times New Roman" w:hAnsi="Times New Roman"/>
                <w:sz w:val="20"/>
                <w:szCs w:val="20"/>
                <w:lang w:val="sr-Cyrl-CS"/>
              </w:rPr>
              <w:t>албанском и српском језику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r w:rsidRPr="006335F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Славистика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, књ. XXV, св. 1 (2021): 298–311</w:t>
            </w:r>
          </w:p>
        </w:tc>
      </w:tr>
      <w:tr w:rsidR="006335F0" w:rsidRPr="00491993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6335F0" w:rsidRPr="00491993" w:rsidRDefault="006335F0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6335F0" w:rsidRPr="006335F0" w:rsidRDefault="006335F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>Predrag J. Mutavdžić – Tanja J. Trajković – Ana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stassios L. Kampouris. (2017). </w:t>
            </w: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>O frazeologizmima s leksemom opanak u albansk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om, rumunskom i srpskom jeziku.</w:t>
            </w: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335F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Zbornik za jezike i književnosti Filozofskog fakulteta u Novom Sadu</w:t>
            </w: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>, God. 7, Broj 7 (2017), стр. 149-177.</w:t>
            </w:r>
          </w:p>
        </w:tc>
      </w:tr>
      <w:tr w:rsidR="002A5DBF" w:rsidRPr="00491993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491993" w:rsidRDefault="006335F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Мутавџић, Предраг Ј. (2014). О статусу арманског језика данас на Балканском полуострву. </w:t>
            </w:r>
            <w:r w:rsidRPr="006335F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Анали Филолошког факултета</w:t>
            </w: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ХХVI, свеска I (2014): 321-345</w:t>
            </w:r>
          </w:p>
        </w:tc>
      </w:tr>
      <w:tr w:rsidR="002A5DBF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491993" w:rsidRDefault="00CC01E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Предраг Мутавџић – Anastassios Kampouris. (2013). О неким специфичностима преношења српске фразеологије на савремени грчки језик и грчке фразеологије на српски. </w:t>
            </w:r>
            <w:r w:rsidRPr="006335F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Славистика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, књига XVII, 83-92.</w:t>
            </w:r>
          </w:p>
        </w:tc>
      </w:tr>
      <w:tr w:rsidR="002A5DBF" w:rsidRPr="00491993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491993" w:rsidRDefault="00CC01E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Mutavdžić, Predrag J. –  Đorđević, Saša B. (2013). Some Types of Introductory Formulas in Greek klephtic (heroic) Epic. </w:t>
            </w:r>
            <w:r w:rsidRPr="006335F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Balcanica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XLIV (2013): 93-112</w:t>
            </w:r>
          </w:p>
        </w:tc>
      </w:tr>
      <w:tr w:rsidR="002A5DBF" w:rsidRPr="00491993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491993" w:rsidRDefault="006335F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Мутавџић, Предраг. (2016</w:t>
            </w:r>
            <w:r w:rsidRPr="00CC01E6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). Из балканске фразеологије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. Београд: Филолошки факултет, ISBN: 978-86-6153-398-1 (стр. 186)</w:t>
            </w:r>
          </w:p>
        </w:tc>
      </w:tr>
      <w:tr w:rsidR="002A5DBF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491993" w:rsidRDefault="006335F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Мутавџић, Предраг. (2013). </w:t>
            </w:r>
            <w:r w:rsidRPr="006335F0">
              <w:rPr>
                <w:rFonts w:ascii="Times New Roman" w:hAnsi="Times New Roman"/>
                <w:i/>
                <w:sz w:val="20"/>
                <w:szCs w:val="20"/>
                <w:lang w:val="sr-Cyrl-CS"/>
              </w:rPr>
              <w:t>Балкан и балканологија (Увод у студије југоисточне Европе)</w:t>
            </w:r>
            <w:r w:rsidRPr="00CC01E6">
              <w:rPr>
                <w:rFonts w:ascii="Times New Roman" w:hAnsi="Times New Roman"/>
                <w:sz w:val="20"/>
                <w:szCs w:val="20"/>
                <w:lang w:val="sr-Cyrl-CS"/>
              </w:rPr>
              <w:t>. Београд: Чигоја штампа, ISBN: 978-86-7558-992-1 (стр. 332)</w:t>
            </w:r>
          </w:p>
        </w:tc>
      </w:tr>
      <w:tr w:rsidR="002A5DB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:rsidTr="00575990">
        <w:trPr>
          <w:trHeight w:val="251"/>
        </w:trPr>
        <w:tc>
          <w:tcPr>
            <w:tcW w:w="4772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2" w:type="dxa"/>
            <w:gridSpan w:val="8"/>
            <w:vAlign w:val="center"/>
          </w:tcPr>
          <w:p w:rsidR="002A5DBF" w:rsidRPr="00491993" w:rsidRDefault="006335F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28</w:t>
            </w:r>
          </w:p>
        </w:tc>
      </w:tr>
      <w:tr w:rsidR="002A5DBF" w:rsidRPr="00491993" w:rsidTr="00575990">
        <w:trPr>
          <w:trHeight w:val="269"/>
        </w:trPr>
        <w:tc>
          <w:tcPr>
            <w:tcW w:w="4772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2" w:type="dxa"/>
            <w:gridSpan w:val="8"/>
            <w:vAlign w:val="center"/>
          </w:tcPr>
          <w:p w:rsidR="002A5DBF" w:rsidRPr="00491993" w:rsidRDefault="006335F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50</w:t>
            </w:r>
          </w:p>
        </w:tc>
      </w:tr>
      <w:tr w:rsidR="002A5DBF" w:rsidRPr="00491993" w:rsidTr="002A5DBF">
        <w:trPr>
          <w:trHeight w:val="278"/>
        </w:trPr>
        <w:tc>
          <w:tcPr>
            <w:tcW w:w="4772" w:type="dxa"/>
            <w:gridSpan w:val="8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01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 w:rsidR="00902EB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0</w:t>
            </w:r>
          </w:p>
        </w:tc>
        <w:tc>
          <w:tcPr>
            <w:tcW w:w="3391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 w:rsidR="00902EB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0</w:t>
            </w:r>
          </w:p>
        </w:tc>
      </w:tr>
      <w:tr w:rsidR="002A5DBF" w:rsidRPr="00491993" w:rsidTr="00575990">
        <w:trPr>
          <w:trHeight w:val="323"/>
        </w:trPr>
        <w:tc>
          <w:tcPr>
            <w:tcW w:w="2867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97" w:type="dxa"/>
            <w:gridSpan w:val="12"/>
            <w:vAlign w:val="center"/>
          </w:tcPr>
          <w:p w:rsidR="006335F0" w:rsidRPr="00491993" w:rsidRDefault="006335F0" w:rsidP="006335F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575990">
        <w:trPr>
          <w:trHeight w:val="179"/>
        </w:trPr>
        <w:tc>
          <w:tcPr>
            <w:tcW w:w="3948" w:type="dxa"/>
            <w:gridSpan w:val="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16" w:type="dxa"/>
            <w:gridSpan w:val="10"/>
            <w:vAlign w:val="center"/>
          </w:tcPr>
          <w:p w:rsidR="006335F0" w:rsidRDefault="006335F0" w:rsidP="006335F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>2011-2020: Пројекат "Језици и културе у времену и простору" Министарства науке, образовања и технолошког развоја, број 178002.</w:t>
            </w:r>
          </w:p>
          <w:p w:rsidR="00E63D5B" w:rsidRDefault="00E63D5B" w:rsidP="006335F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2014, 2018, 2019: учествовање у размени наставног особља преко Еразмус+ пројекта</w:t>
            </w:r>
          </w:p>
          <w:p w:rsidR="00E63D5B" w:rsidRDefault="00E63D5B" w:rsidP="006335F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2019: одржана пригодна предавања по позиву на универзитетима у Љубљани и Загребу</w:t>
            </w:r>
          </w:p>
          <w:p w:rsidR="006335F0" w:rsidRDefault="006335F0" w:rsidP="006335F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>2011-2021: председник Асоцијације за неохеленске студије Србије</w:t>
            </w:r>
          </w:p>
          <w:p w:rsidR="006335F0" w:rsidRDefault="006335F0" w:rsidP="006335F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>члан Друштва за примењену лигвистику Србије</w:t>
            </w:r>
          </w:p>
          <w:p w:rsidR="006335F0" w:rsidRDefault="006335F0" w:rsidP="006335F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>рецензент радова за домаће и стране часописе (Russian Journal of Linguistics, Keria Studia latina et graeca, Italica belgradensia, Наслеђе, Филолошки преглед, Читалиште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 Методички видици</w:t>
            </w: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>)</w:t>
            </w:r>
          </w:p>
          <w:p w:rsidR="006335F0" w:rsidRDefault="006335F0" w:rsidP="006335F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>члан Савета часописа Keria Studia Latin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a et Graeca, Interkulturalnost</w:t>
            </w:r>
          </w:p>
          <w:p w:rsidR="002A5DBF" w:rsidRDefault="006335F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335F0">
              <w:rPr>
                <w:rFonts w:ascii="Times New Roman" w:hAnsi="Times New Roman"/>
                <w:sz w:val="20"/>
                <w:szCs w:val="20"/>
                <w:lang w:val="sr-Cyrl-CS"/>
              </w:rPr>
              <w:t>члан Европске мреже за интеркултурне образовне активности (The European   Network   for   Intercultural   Education   Activities,   ENIEDА)   са   седиштем у Португалији.</w:t>
            </w:r>
          </w:p>
          <w:p w:rsidR="006335F0" w:rsidRPr="00491993" w:rsidRDefault="006335F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Члан Управног одбора Цинцарског ПЕН центра за Србију</w:t>
            </w:r>
          </w:p>
        </w:tc>
      </w:tr>
    </w:tbl>
    <w:p w:rsidR="00837D55" w:rsidRDefault="00CC7BC7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A5DBF"/>
    <w:rsid w:val="00354285"/>
    <w:rsid w:val="00396B6D"/>
    <w:rsid w:val="00411D99"/>
    <w:rsid w:val="0049245B"/>
    <w:rsid w:val="004F4950"/>
    <w:rsid w:val="00575990"/>
    <w:rsid w:val="005E220A"/>
    <w:rsid w:val="005E29C5"/>
    <w:rsid w:val="006335F0"/>
    <w:rsid w:val="0079541F"/>
    <w:rsid w:val="007C2981"/>
    <w:rsid w:val="00902EBB"/>
    <w:rsid w:val="00917D1C"/>
    <w:rsid w:val="00A2225C"/>
    <w:rsid w:val="00AC0C03"/>
    <w:rsid w:val="00C0386B"/>
    <w:rsid w:val="00C14272"/>
    <w:rsid w:val="00C436F6"/>
    <w:rsid w:val="00C5674B"/>
    <w:rsid w:val="00C72B2F"/>
    <w:rsid w:val="00C7378E"/>
    <w:rsid w:val="00CC01E6"/>
    <w:rsid w:val="00CC7BC7"/>
    <w:rsid w:val="00E63D5B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713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8</cp:revision>
  <dcterms:created xsi:type="dcterms:W3CDTF">2022-06-23T19:07:00Z</dcterms:created>
  <dcterms:modified xsi:type="dcterms:W3CDTF">2023-03-16T22:36:00Z</dcterms:modified>
</cp:coreProperties>
</file>