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1045"/>
        <w:gridCol w:w="122"/>
        <w:gridCol w:w="959"/>
        <w:gridCol w:w="35"/>
        <w:gridCol w:w="789"/>
        <w:gridCol w:w="271"/>
        <w:gridCol w:w="537"/>
        <w:gridCol w:w="368"/>
        <w:gridCol w:w="425"/>
        <w:gridCol w:w="287"/>
        <w:gridCol w:w="1156"/>
        <w:gridCol w:w="344"/>
        <w:gridCol w:w="1604"/>
      </w:tblGrid>
      <w:tr w:rsidR="002A5DBF" w:rsidRPr="00491993" w:rsidTr="00575990">
        <w:trPr>
          <w:trHeight w:val="350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4206A9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 М. Илић</w:t>
            </w:r>
          </w:p>
        </w:tc>
      </w:tr>
      <w:tr w:rsidR="002A5DBF" w:rsidRPr="00491993" w:rsidTr="00575990">
        <w:trPr>
          <w:trHeight w:val="260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асистент</w:t>
            </w:r>
          </w:p>
        </w:tc>
      </w:tr>
      <w:tr w:rsidR="002A5DBF" w:rsidRPr="003B4D66" w:rsidTr="002A5DBF">
        <w:trPr>
          <w:trHeight w:val="427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3B4D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Београду, Филолошки факултет, од 11.7.2016.</w:t>
            </w:r>
          </w:p>
        </w:tc>
      </w:tr>
      <w:tr w:rsidR="002A5DBF" w:rsidRPr="00491993" w:rsidTr="002A5DBF">
        <w:trPr>
          <w:trHeight w:val="427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</w:tr>
      <w:tr w:rsidR="002A5DBF" w:rsidRPr="00491993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3B4D66" w:rsidTr="002A5DBF">
        <w:trPr>
          <w:trHeight w:val="427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3B4D66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hAnsi="Times New Roman"/>
                <w:sz w:val="20"/>
                <w:szCs w:val="20"/>
                <w:lang w:val="ru-RU"/>
              </w:rPr>
              <w:t>Ужа научна, уметничка или стручна област</w:t>
            </w:r>
          </w:p>
        </w:tc>
      </w:tr>
      <w:tr w:rsidR="002A5DBF" w:rsidRPr="003B4D66" w:rsidTr="00575990">
        <w:trPr>
          <w:trHeight w:val="215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2019.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Београду, Филолошки факултет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4206A9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Српски језик: Методика наставе српског језика и књижевности</w:t>
            </w:r>
          </w:p>
        </w:tc>
      </w:tr>
      <w:tr w:rsidR="002A5DBF" w:rsidRPr="003B4D66" w:rsidTr="00575990">
        <w:trPr>
          <w:trHeight w:val="251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2022.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Београду, Филолошки факултет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језик: Методика наставе српског језика, Лексикологија српског језика</w:t>
            </w:r>
          </w:p>
        </w:tc>
      </w:tr>
      <w:tr w:rsidR="002A5DBF" w:rsidRPr="00491993" w:rsidTr="00575990">
        <w:trPr>
          <w:trHeight w:val="251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575990">
        <w:trPr>
          <w:trHeight w:val="170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3B4D66" w:rsidTr="00575990">
        <w:trPr>
          <w:trHeight w:val="197"/>
        </w:trPr>
        <w:tc>
          <w:tcPr>
            <w:tcW w:w="2989" w:type="dxa"/>
            <w:gridSpan w:val="5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2015.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Београду, Филолошки факултет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језик: Лексикологија српског језика</w:t>
            </w:r>
          </w:p>
        </w:tc>
      </w:tr>
      <w:tr w:rsidR="002A5DBF" w:rsidRPr="00491993" w:rsidTr="00575990">
        <w:trPr>
          <w:trHeight w:val="233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2014.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Београду, Филолошки факултет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3B4D66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3B4D66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 w:rsidRPr="003B4D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2A5DBF" w:rsidRPr="00491993" w:rsidTr="00C14272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4206A9" w:rsidRPr="00491993" w:rsidTr="00CA6047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4206A9" w:rsidRPr="00575990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Специјални курс: Методика наставе српског језика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4206A9" w:rsidRPr="00491993" w:rsidTr="00CA6047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4206A9" w:rsidRPr="00575990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Увод у методику наставе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206A9" w:rsidRPr="00491993" w:rsidTr="003B05A8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4206A9" w:rsidRPr="00575990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Методика наставе српског језика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4206A9" w:rsidRDefault="004206A9">
            <w:r w:rsidRPr="00E140B3"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1604" w:type="dxa"/>
            <w:shd w:val="clear" w:color="auto" w:fill="auto"/>
          </w:tcPr>
          <w:p w:rsidR="004206A9" w:rsidRDefault="004206A9">
            <w:r w:rsidRPr="00EF464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206A9" w:rsidRPr="00491993" w:rsidTr="003B05A8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4206A9" w:rsidRPr="00575990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Методика наставе књижевности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4206A9" w:rsidRDefault="004206A9">
            <w:r w:rsidRPr="00E140B3"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1604" w:type="dxa"/>
            <w:shd w:val="clear" w:color="auto" w:fill="auto"/>
          </w:tcPr>
          <w:p w:rsidR="004206A9" w:rsidRDefault="004206A9">
            <w:r w:rsidRPr="00EF464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206A9" w:rsidRPr="00491993" w:rsidTr="003B05A8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4206A9" w:rsidRPr="00575990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Језичка култура у наставној пракси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4206A9" w:rsidRDefault="004206A9">
            <w:r w:rsidRPr="00E140B3"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1604" w:type="dxa"/>
            <w:shd w:val="clear" w:color="auto" w:fill="auto"/>
          </w:tcPr>
          <w:p w:rsidR="004206A9" w:rsidRDefault="004206A9">
            <w:r w:rsidRPr="00EF464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206A9" w:rsidRPr="00491993" w:rsidTr="003B05A8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4206A9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Основи нормирања српског језика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4206A9" w:rsidRDefault="004206A9">
            <w:r w:rsidRPr="00E140B3"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1604" w:type="dxa"/>
            <w:shd w:val="clear" w:color="auto" w:fill="auto"/>
          </w:tcPr>
          <w:p w:rsidR="004206A9" w:rsidRDefault="004206A9">
            <w:r w:rsidRPr="00EF464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206A9" w:rsidRPr="00491993" w:rsidTr="003B05A8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4206A9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Методичка пракса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4206A9" w:rsidRDefault="004206A9">
            <w:r w:rsidRPr="00E140B3"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1604" w:type="dxa"/>
            <w:shd w:val="clear" w:color="auto" w:fill="auto"/>
          </w:tcPr>
          <w:p w:rsidR="004206A9" w:rsidRDefault="004206A9">
            <w:r w:rsidRPr="00EF464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4206A9" w:rsidRPr="00491993" w:rsidTr="003B05A8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4206A9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bottom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Педагошка пракса 3 за 01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06A9" w:rsidRPr="00491993" w:rsidRDefault="004206A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4206A9" w:rsidRDefault="004206A9">
            <w:r w:rsidRPr="00E140B3"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1604" w:type="dxa"/>
            <w:shd w:val="clear" w:color="auto" w:fill="auto"/>
          </w:tcPr>
          <w:p w:rsidR="004206A9" w:rsidRDefault="004206A9">
            <w:r w:rsidRPr="00EF464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75990" w:rsidRPr="003B4D66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3B4D66" w:rsidRDefault="003B4D6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Правопис српског језика: специјални курс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3B4D66" w:rsidRDefault="003B4D6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вежбе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491993" w:rsidRDefault="003B4D6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491993" w:rsidRDefault="003B4D6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  <w:bookmarkStart w:id="0" w:name="_GoBack"/>
            <w:bookmarkEnd w:id="0"/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3B4D66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4206A9" w:rsidRPr="00491993" w:rsidTr="005A7695">
        <w:trPr>
          <w:trHeight w:val="161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Илић 2016: Валентина Илић, „Методички приступ етимологији на часовима лингвистичке секције у средњој школиˮ, </w:t>
            </w:r>
            <w:r w:rsidRPr="003B4D6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/>
              </w:rPr>
              <w:t>Методички видици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год. 7, бр. 7 (2016), стр. 137–155.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Нови</w:t>
            </w:r>
            <w:proofErr w:type="spellEnd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Сад</w:t>
            </w:r>
            <w:proofErr w:type="spellEnd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Филозофски</w:t>
            </w:r>
            <w:proofErr w:type="spellEnd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факултет</w:t>
            </w:r>
            <w:proofErr w:type="spellEnd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4206A9" w:rsidRPr="003B4D66" w:rsidTr="005A7695">
        <w:trPr>
          <w:trHeight w:val="188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Илић 2018: Валентина Илић, „Писање назива улица и тргова у правописима и настави српског језика”, </w:t>
            </w:r>
            <w:r w:rsidRPr="003B4D6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/>
              </w:rPr>
              <w:t>Књижевност и језик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LXV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1–2, Београд: Друштво за српски језик и књижевност Србије, 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стр. 167–185.  </w:t>
            </w:r>
          </w:p>
        </w:tc>
      </w:tr>
      <w:tr w:rsidR="004206A9" w:rsidRPr="003B4D66" w:rsidTr="005A7695">
        <w:trPr>
          <w:trHeight w:val="215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Илић 2018: Валентина Илић, „Бројевне речи у настави српског језика: актуелно стање и проблеми”, у: Актуелни теоријско-методолошки проблеми проучавања и наставе словенских језика, књижевности и култура: зборник радова / Међународна научна конференција Комисије за наставу словенских језика и књижевности Међународног комитета слависта, 2017. (ур. Љиљана Бајић, Јелена Гинић, Наташа Станковић Шошо), Београд: Филолошки факултет, стр. 148–167.</w:t>
            </w:r>
          </w:p>
        </w:tc>
      </w:tr>
      <w:tr w:rsidR="004206A9" w:rsidRPr="003B4D66" w:rsidTr="005A7695">
        <w:trPr>
          <w:trHeight w:val="161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Илић 2018: Валентина Илић, „Правописни и граматички речници”, Српска лексикографија од Вука до данас, каталог изложбе (ур. Милосав Тешић, Рајна Драгићевић, Ненад Ивановић), Београд: Српска академија наука и уметности – Савез славистичких друштава Србије, стр. 259–273. </w:t>
            </w:r>
          </w:p>
        </w:tc>
      </w:tr>
      <w:tr w:rsidR="004206A9" w:rsidRPr="00491993" w:rsidTr="005A7695">
        <w:trPr>
          <w:trHeight w:val="98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Илић 2019: Валентина Илић, „Најфреквентни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j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 лексика Српских народних пословица у контексту језичко-стереотипне слике света”, у: Стереотипът в славянските езици, литератури и култури, сборник с доклади от Четиринадесетите международни славистични четения София, 26–28 април 2018 г., Том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Езикознание (отг. ред. доц. д-р Цветанка Аврамова), София: Университетско издателство „Св.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Климент</w:t>
            </w:r>
            <w:proofErr w:type="spellEnd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Охридски</w:t>
            </w:r>
            <w:proofErr w:type="spellEnd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 xml:space="preserve">“, 94–104. </w:t>
            </w:r>
          </w:p>
        </w:tc>
      </w:tr>
      <w:tr w:rsidR="004206A9" w:rsidRPr="003B4D66" w:rsidTr="005A7695">
        <w:trPr>
          <w:trHeight w:val="170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Илић 2019: Валентина Илић, „Статус дублета у Речнику уз Правопис српскога језика Матице српске”, у: Нови прилози српском правопису, зборник радова са научног скупа „Актуелна питања српског правописа” одржаног у Вишеграду 13. 10. 2018. (прир. М. Ковачевић), Нови Сад: Матица српска – Вишеград: Андрићев институт, 185–215. </w:t>
            </w:r>
          </w:p>
        </w:tc>
      </w:tr>
      <w:tr w:rsidR="004206A9" w:rsidRPr="00491993" w:rsidTr="005A7695">
        <w:trPr>
          <w:trHeight w:val="251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Илић 2020: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Valentina</w:t>
            </w:r>
            <w:proofErr w:type="spellEnd"/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ć, „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position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of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paradigmatic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lexical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relations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university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literature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for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Teaching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methodology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for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Serbian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language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”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: Лингвистика, лингводидактика, лингвокультурология: актуальные вопросы и перспективы развития: материалы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Междунар. науч.-практ. конф., Минск, 19–20 марта 2020 г. / редкол.: О. Г. Прохоренко (отв. ред.)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 xml:space="preserve">[и 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др</w:t>
            </w:r>
            <w:proofErr w:type="spellEnd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.]. – Минск : БГУ. p. 207–213.</w:t>
            </w:r>
          </w:p>
        </w:tc>
      </w:tr>
      <w:tr w:rsidR="004206A9" w:rsidRPr="003B4D66" w:rsidTr="005A7695">
        <w:trPr>
          <w:trHeight w:val="251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Станковић Шошо и Илић 2020: Наташа Станковић Шошо и Валентина Илић, „Настава методике српског језика и књижевности на Филолошком факултету Универзитета у Београду”, у: Положај словенских језика, књижевности и култура на универзитетима у свету, Округли сто комисије за наставу словенских језика и књижевности Међународног комитета слависта, Београд: Филолошки факултет, 134–168.   </w:t>
            </w:r>
          </w:p>
        </w:tc>
      </w:tr>
      <w:tr w:rsidR="004206A9" w:rsidRPr="003B4D66" w:rsidTr="005A7695">
        <w:trPr>
          <w:trHeight w:val="89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3B4D66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Илић 2020: Валентина Илић, „Апстрактуми истина и лаж у савременом српском језику: концептуализација ИСТИНЕ (когнитивнолингвистички приступ)”, Књижевност и језик,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LXVII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/2, Београд: Друштво за српски језик и књижевност Србије, стр. 273–290.</w:t>
            </w:r>
          </w:p>
        </w:tc>
      </w:tr>
      <w:tr w:rsidR="004206A9" w:rsidRPr="00491993" w:rsidTr="005A7695">
        <w:trPr>
          <w:trHeight w:val="125"/>
        </w:trPr>
        <w:tc>
          <w:tcPr>
            <w:tcW w:w="990" w:type="dxa"/>
            <w:gridSpan w:val="2"/>
            <w:vAlign w:val="center"/>
          </w:tcPr>
          <w:p w:rsidR="004206A9" w:rsidRPr="00491993" w:rsidRDefault="004206A9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4206A9" w:rsidRPr="004206A9" w:rsidRDefault="004206A9" w:rsidP="00467B1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Илић и Николић 2021: Валентина Илић и Весна Николић, „Најфреквентнији проблеми са усвајањем предлога у српском језику као страном (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2) на почетним нивоима учења (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1 и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2)”, у: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New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Trends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Slavic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Studies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eds</w:t>
            </w:r>
            <w:proofErr w:type="spellEnd"/>
            <w:r w:rsidRPr="003B4D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4206A9">
              <w:rPr>
                <w:rFonts w:ascii="Times New Roman" w:eastAsia="Times New Roman" w:hAnsi="Times New Roman"/>
                <w:sz w:val="20"/>
                <w:szCs w:val="20"/>
              </w:rPr>
              <w:t>Suėrez Cuadros, Simĵn José, Vercher García, Enrique J., Barros García, Benamí, Marynenko, Pavlo, Quero Gervilla, Enrique F.), 5th International Conference „Andalusian Symposia on Slavic Studies”, Москва: URSS – КРАСАНД, стр. 88–97.</w:t>
            </w:r>
          </w:p>
        </w:tc>
      </w:tr>
      <w:tr w:rsidR="002A5DBF" w:rsidRPr="003B4D66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A5DBF" w:rsidRPr="00491993" w:rsidTr="00575990">
        <w:trPr>
          <w:trHeight w:val="251"/>
        </w:trPr>
        <w:tc>
          <w:tcPr>
            <w:tcW w:w="477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9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3B4D66" w:rsidTr="00575990">
        <w:trPr>
          <w:trHeight w:val="269"/>
        </w:trPr>
        <w:tc>
          <w:tcPr>
            <w:tcW w:w="477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99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2A5DBF">
        <w:trPr>
          <w:trHeight w:val="278"/>
        </w:trPr>
        <w:tc>
          <w:tcPr>
            <w:tcW w:w="477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01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 w:rsidR="00056377">
              <w:rPr>
                <w:rFonts w:ascii="Times New Roman" w:hAnsi="Times New Roman"/>
                <w:sz w:val="20"/>
                <w:szCs w:val="20"/>
                <w:lang w:val="sr-Cyrl-CS"/>
              </w:rPr>
              <w:t>: 2</w:t>
            </w:r>
          </w:p>
        </w:tc>
        <w:tc>
          <w:tcPr>
            <w:tcW w:w="3391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A5DBF" w:rsidRPr="00491993" w:rsidTr="00575990">
        <w:trPr>
          <w:trHeight w:val="323"/>
        </w:trPr>
        <w:tc>
          <w:tcPr>
            <w:tcW w:w="2867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897" w:type="dxa"/>
            <w:gridSpan w:val="1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3B4D66" w:rsidTr="00575990">
        <w:trPr>
          <w:trHeight w:val="179"/>
        </w:trPr>
        <w:tc>
          <w:tcPr>
            <w:tcW w:w="3948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816" w:type="dxa"/>
            <w:gridSpan w:val="10"/>
            <w:vAlign w:val="center"/>
          </w:tcPr>
          <w:p w:rsidR="00056377" w:rsidRPr="003B4D66" w:rsidRDefault="00056377" w:rsidP="002A5DBF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Валентина Илић добитник је награде </w:t>
            </w:r>
            <w:r w:rsidRPr="003B4D66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Проф. др Радмила Милентијевић</w:t>
            </w: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(2016).</w:t>
            </w:r>
          </w:p>
          <w:p w:rsidR="007D1835" w:rsidRPr="003B4D66" w:rsidRDefault="00056377" w:rsidP="002A5DBF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Валентина Илић добитник је Похвале Факултета за изузетан успех у току основних академских студија у првој генерацији уписаној на акредитовани студијски програм Српски језик и књижевност (студент генерације) (2014).</w:t>
            </w:r>
          </w:p>
          <w:p w:rsidR="007D1835" w:rsidRPr="003B4D66" w:rsidRDefault="007D1835" w:rsidP="002A5DBF">
            <w:pPr>
              <w:tabs>
                <w:tab w:val="left" w:pos="567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Валентина Илић је члан Комисије за наставу словенских језика, књижевности и култура Међународног комитета слависта. Валентина Илић је секретар Комисије за праћење и истраживање правописне проблематике (Комисија бр. 5) Одбора за стандардизацију српског језика.</w:t>
            </w:r>
          </w:p>
          <w:p w:rsidR="002A5DBF" w:rsidRPr="00056377" w:rsidRDefault="00056377" w:rsidP="000563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B4D6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Валентина Илић учествовала је на 7 међународних научних скупова (са радовима).</w:t>
            </w:r>
          </w:p>
        </w:tc>
      </w:tr>
    </w:tbl>
    <w:p w:rsidR="00837D55" w:rsidRPr="003B4D66" w:rsidRDefault="003B4D66" w:rsidP="002A5DBF">
      <w:pPr>
        <w:rPr>
          <w:lang w:val="ru-RU"/>
        </w:rPr>
      </w:pPr>
    </w:p>
    <w:sectPr w:rsidR="00837D55" w:rsidRPr="003B4D66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56377"/>
    <w:rsid w:val="000A5FD2"/>
    <w:rsid w:val="001419C1"/>
    <w:rsid w:val="002A5DBF"/>
    <w:rsid w:val="00354285"/>
    <w:rsid w:val="003B4D66"/>
    <w:rsid w:val="00411D99"/>
    <w:rsid w:val="004206A9"/>
    <w:rsid w:val="0049245B"/>
    <w:rsid w:val="004F4950"/>
    <w:rsid w:val="00575990"/>
    <w:rsid w:val="005D315C"/>
    <w:rsid w:val="005E220A"/>
    <w:rsid w:val="005E29C5"/>
    <w:rsid w:val="0079541F"/>
    <w:rsid w:val="007C2981"/>
    <w:rsid w:val="007D1835"/>
    <w:rsid w:val="00917D1C"/>
    <w:rsid w:val="00A2225C"/>
    <w:rsid w:val="00AC0C03"/>
    <w:rsid w:val="00C0386B"/>
    <w:rsid w:val="00C14272"/>
    <w:rsid w:val="00C436F6"/>
    <w:rsid w:val="00C5674B"/>
    <w:rsid w:val="00C72B2F"/>
    <w:rsid w:val="00C7378E"/>
    <w:rsid w:val="00E9190C"/>
    <w:rsid w:val="00F2040B"/>
    <w:rsid w:val="00F76997"/>
    <w:rsid w:val="00F7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9</cp:revision>
  <dcterms:created xsi:type="dcterms:W3CDTF">2022-06-23T19:07:00Z</dcterms:created>
  <dcterms:modified xsi:type="dcterms:W3CDTF">2022-10-18T18:53:00Z</dcterms:modified>
</cp:coreProperties>
</file>